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7862"/>
        <w:gridCol w:w="2798"/>
      </w:tblGrid>
      <w:tr w:rsidR="005A4700" w14:paraId="4A247B85" w14:textId="77777777">
        <w:trPr>
          <w:trHeight w:hRule="exact" w:val="1177"/>
        </w:trPr>
        <w:tc>
          <w:tcPr>
            <w:tcW w:w="7862" w:type="dxa"/>
            <w:tcBorders>
              <w:top w:val="none" w:sz="0" w:space="0" w:color="000000"/>
              <w:left w:val="none" w:sz="0" w:space="0" w:color="000000"/>
              <w:bottom w:val="none" w:sz="0" w:space="0" w:color="000000"/>
              <w:right w:val="none" w:sz="0" w:space="0" w:color="000000"/>
            </w:tcBorders>
          </w:tcPr>
          <w:p w14:paraId="3AA2CC0F" w14:textId="1F166912" w:rsidR="005A4700" w:rsidRDefault="00384633" w:rsidP="00384633">
            <w:pPr>
              <w:spacing w:before="12" w:after="267"/>
              <w:ind w:left="6998"/>
              <w:jc w:val="center"/>
              <w:textAlignment w:val="baseline"/>
            </w:pPr>
            <w:r>
              <w:br/>
            </w:r>
            <w:r>
              <w:rPr>
                <w:noProof/>
              </w:rPr>
              <w:drawing>
                <wp:inline distT="0" distB="0" distL="0" distR="0" wp14:anchorId="06B78BD6" wp14:editId="4A7C3455">
                  <wp:extent cx="548640" cy="5302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548640" cy="530225"/>
                          </a:xfrm>
                          <a:prstGeom prst="rect">
                            <a:avLst/>
                          </a:prstGeom>
                        </pic:spPr>
                      </pic:pic>
                    </a:graphicData>
                  </a:graphic>
                </wp:inline>
              </w:drawing>
            </w:r>
          </w:p>
        </w:tc>
        <w:tc>
          <w:tcPr>
            <w:tcW w:w="2798" w:type="dxa"/>
            <w:tcBorders>
              <w:top w:val="none" w:sz="0" w:space="0" w:color="000000"/>
              <w:left w:val="none" w:sz="0" w:space="0" w:color="000000"/>
              <w:bottom w:val="none" w:sz="0" w:space="0" w:color="000000"/>
              <w:right w:val="none" w:sz="0" w:space="0" w:color="000000"/>
            </w:tcBorders>
          </w:tcPr>
          <w:p w14:paraId="127B301F" w14:textId="77777777" w:rsidR="005A4700" w:rsidRDefault="00BD13C8">
            <w:pPr>
              <w:spacing w:before="90" w:line="899" w:lineRule="exact"/>
              <w:jc w:val="center"/>
              <w:textAlignment w:val="baseline"/>
              <w:rPr>
                <w:rFonts w:eastAsia="Times New Roman"/>
                <w:color w:val="D15955"/>
                <w:w w:val="105"/>
                <w:sz w:val="76"/>
              </w:rPr>
            </w:pPr>
            <w:r>
              <w:rPr>
                <w:rFonts w:eastAsia="Times New Roman"/>
                <w:color w:val="D15955"/>
                <w:w w:val="105"/>
                <w:sz w:val="76"/>
              </w:rPr>
              <w:t>archcare</w:t>
            </w:r>
          </w:p>
          <w:p w14:paraId="1AF1D27B" w14:textId="4523DD71" w:rsidR="005A4700" w:rsidRDefault="00BD13C8">
            <w:pPr>
              <w:spacing w:line="175" w:lineRule="exact"/>
              <w:jc w:val="center"/>
              <w:textAlignment w:val="baseline"/>
              <w:rPr>
                <w:rFonts w:eastAsia="Times New Roman"/>
                <w:color w:val="6F582E"/>
                <w:sz w:val="21"/>
              </w:rPr>
            </w:pPr>
            <w:r>
              <w:rPr>
                <w:rFonts w:eastAsia="Times New Roman"/>
                <w:color w:val="6F582E"/>
                <w:sz w:val="21"/>
              </w:rPr>
              <w:t xml:space="preserve">at Mary Manning Walsh </w:t>
            </w:r>
            <w:r w:rsidR="00384633">
              <w:rPr>
                <w:rFonts w:eastAsia="Times New Roman"/>
                <w:color w:val="6F582E"/>
                <w:sz w:val="21"/>
              </w:rPr>
              <w:t>Home</w:t>
            </w:r>
          </w:p>
        </w:tc>
      </w:tr>
    </w:tbl>
    <w:p w14:paraId="74A3780D" w14:textId="77777777" w:rsidR="005A4700" w:rsidRDefault="005A4700">
      <w:pPr>
        <w:spacing w:after="700" w:line="20" w:lineRule="exact"/>
      </w:pPr>
    </w:p>
    <w:p w14:paraId="3E4189A7" w14:textId="21E60BA6" w:rsidR="005A4700" w:rsidRDefault="00BD13C8">
      <w:pPr>
        <w:spacing w:line="270" w:lineRule="exact"/>
        <w:ind w:left="8136"/>
        <w:textAlignment w:val="baseline"/>
        <w:rPr>
          <w:rFonts w:eastAsia="Times New Roman"/>
          <w:color w:val="000000"/>
          <w:spacing w:val="-2"/>
          <w:sz w:val="24"/>
        </w:rPr>
      </w:pPr>
      <w:bookmarkStart w:id="0" w:name="_Hlk194140278"/>
      <w:r>
        <w:rPr>
          <w:rFonts w:eastAsia="Times New Roman"/>
          <w:color w:val="000000"/>
          <w:spacing w:val="-2"/>
          <w:sz w:val="24"/>
        </w:rPr>
        <w:t>April 1, 202</w:t>
      </w:r>
      <w:r w:rsidR="00406C25">
        <w:rPr>
          <w:rFonts w:eastAsia="Times New Roman"/>
          <w:color w:val="000000"/>
          <w:spacing w:val="-2"/>
          <w:sz w:val="24"/>
        </w:rPr>
        <w:t>6</w:t>
      </w:r>
    </w:p>
    <w:p w14:paraId="734A9A1D" w14:textId="77777777" w:rsidR="005A4700" w:rsidRDefault="00BD13C8">
      <w:pPr>
        <w:spacing w:before="536" w:line="273" w:lineRule="exact"/>
        <w:textAlignment w:val="baseline"/>
        <w:rPr>
          <w:rFonts w:eastAsia="Times New Roman"/>
          <w:color w:val="000000"/>
          <w:sz w:val="24"/>
        </w:rPr>
      </w:pPr>
      <w:r>
        <w:rPr>
          <w:rFonts w:eastAsia="Times New Roman"/>
          <w:color w:val="000000"/>
          <w:sz w:val="24"/>
        </w:rPr>
        <w:t>Dear Mary Manning Walsh Home Community Member,</w:t>
      </w:r>
    </w:p>
    <w:p w14:paraId="1007518F" w14:textId="77777777" w:rsidR="005A4700" w:rsidRDefault="00BD13C8">
      <w:pPr>
        <w:spacing w:before="285" w:line="274" w:lineRule="exact"/>
        <w:ind w:right="1368"/>
        <w:textAlignment w:val="baseline"/>
        <w:rPr>
          <w:rFonts w:eastAsia="Times New Roman"/>
          <w:color w:val="000000"/>
          <w:sz w:val="24"/>
        </w:rPr>
      </w:pPr>
      <w:r>
        <w:rPr>
          <w:rFonts w:eastAsia="Times New Roman"/>
          <w:color w:val="000000"/>
          <w:sz w:val="24"/>
        </w:rPr>
        <w:t xml:space="preserve">Both the New York State Department of Health (NYSDOH) and the Centers for Medicare and Medicaid Services (CMS) maintain information on nursing homes that includes performance on quality measures, complaints, inspection results, and citations and enforcement actions, as well as any penalties imposed on the nursing home. CMS has created a tool called </w:t>
      </w:r>
      <w:r>
        <w:rPr>
          <w:rFonts w:eastAsia="Times New Roman"/>
          <w:color w:val="000000"/>
          <w:sz w:val="24"/>
          <w:u w:val="single"/>
        </w:rPr>
        <w:t>Care Compare</w:t>
      </w:r>
      <w:r>
        <w:rPr>
          <w:rFonts w:eastAsia="Times New Roman"/>
          <w:color w:val="000000"/>
          <w:sz w:val="24"/>
        </w:rPr>
        <w:t xml:space="preserve"> to help consumers search for and select nursing homes and other health care providers.</w:t>
      </w:r>
    </w:p>
    <w:p w14:paraId="03D09AB8" w14:textId="77777777" w:rsidR="005A4700" w:rsidRDefault="00BD13C8">
      <w:pPr>
        <w:spacing w:before="296" w:line="274" w:lineRule="exact"/>
        <w:ind w:right="1512"/>
        <w:textAlignment w:val="baseline"/>
        <w:rPr>
          <w:rFonts w:eastAsia="Times New Roman"/>
          <w:color w:val="000000"/>
          <w:sz w:val="24"/>
        </w:rPr>
      </w:pPr>
      <w:r>
        <w:rPr>
          <w:rFonts w:eastAsia="Times New Roman"/>
          <w:color w:val="000000"/>
          <w:sz w:val="24"/>
        </w:rPr>
        <w:t>According to CMS, the information it maintains on nursing homes should be used with other Information you gather about providers and facilities in your area. In addition to reviewing the Care Compare information, you should talk to your doctor, social worker, or other health care providers when choosing a provider. Additional tips for selecting a nursing home can be found in CMS's guide to selecting a nursing home:</w:t>
      </w:r>
      <w:r>
        <w:rPr>
          <w:rFonts w:eastAsia="Times New Roman"/>
          <w:color w:val="2E4999"/>
          <w:sz w:val="24"/>
          <w:u w:val="single"/>
        </w:rPr>
        <w:t xml:space="preserve">  </w:t>
      </w:r>
      <w:hyperlink r:id="rId6">
        <w:r w:rsidR="005A4700">
          <w:rPr>
            <w:rFonts w:eastAsia="Times New Roman"/>
            <w:color w:val="0000FF"/>
            <w:sz w:val="24"/>
            <w:u w:val="single"/>
          </w:rPr>
          <w:t>https://wwvv.medicare.gov/care-compare/en/assets/resources/nursing-home/02174-nursing-home-other-long-term-services.pdf?redirect=true.</w:t>
        </w:r>
      </w:hyperlink>
      <w:r>
        <w:rPr>
          <w:rFonts w:eastAsia="Times New Roman"/>
          <w:color w:val="000000"/>
          <w:sz w:val="24"/>
          <w:u w:val="single"/>
        </w:rPr>
        <w:t xml:space="preserve"> </w:t>
      </w:r>
    </w:p>
    <w:p w14:paraId="74CC280F" w14:textId="77777777" w:rsidR="005A4700" w:rsidRDefault="00BD13C8">
      <w:pPr>
        <w:spacing w:before="275" w:line="273" w:lineRule="exact"/>
        <w:textAlignment w:val="baseline"/>
        <w:rPr>
          <w:rFonts w:eastAsia="Times New Roman"/>
          <w:color w:val="000000"/>
          <w:sz w:val="24"/>
        </w:rPr>
      </w:pPr>
      <w:r>
        <w:rPr>
          <w:rFonts w:eastAsia="Times New Roman"/>
          <w:color w:val="000000"/>
          <w:sz w:val="24"/>
        </w:rPr>
        <w:t>The following web addresses can provide quality and compliance information.</w:t>
      </w:r>
    </w:p>
    <w:p w14:paraId="5729AF86" w14:textId="77777777" w:rsidR="005A4700" w:rsidRDefault="005A4700">
      <w:pPr>
        <w:numPr>
          <w:ilvl w:val="0"/>
          <w:numId w:val="1"/>
        </w:numPr>
        <w:tabs>
          <w:tab w:val="clear" w:pos="360"/>
          <w:tab w:val="left" w:pos="720"/>
        </w:tabs>
        <w:spacing w:before="299" w:line="274" w:lineRule="exact"/>
        <w:ind w:left="360"/>
        <w:textAlignment w:val="baseline"/>
        <w:rPr>
          <w:rFonts w:eastAsia="Times New Roman"/>
          <w:color w:val="2E4999"/>
          <w:sz w:val="24"/>
          <w:u w:val="single"/>
        </w:rPr>
      </w:pPr>
      <w:hyperlink r:id="rId7">
        <w:r>
          <w:rPr>
            <w:rFonts w:eastAsia="Times New Roman"/>
            <w:color w:val="0000FF"/>
            <w:sz w:val="24"/>
            <w:u w:val="single"/>
          </w:rPr>
          <w:t>https://profiles.health.ny.gov/nursinghome/index</w:t>
        </w:r>
      </w:hyperlink>
      <w:r w:rsidR="00BD13C8">
        <w:rPr>
          <w:rFonts w:eastAsia="Times New Roman"/>
          <w:color w:val="2E4999"/>
          <w:sz w:val="24"/>
          <w:u w:val="single"/>
        </w:rPr>
        <w:t xml:space="preserve"> </w:t>
      </w:r>
    </w:p>
    <w:p w14:paraId="753F8D0E" w14:textId="77777777" w:rsidR="005A4700" w:rsidRDefault="00BD13C8">
      <w:pPr>
        <w:numPr>
          <w:ilvl w:val="0"/>
          <w:numId w:val="2"/>
        </w:numPr>
        <w:tabs>
          <w:tab w:val="clear" w:pos="360"/>
          <w:tab w:val="left" w:pos="1440"/>
        </w:tabs>
        <w:spacing w:line="275" w:lineRule="exact"/>
        <w:ind w:left="1440" w:right="1368" w:hanging="360"/>
        <w:textAlignment w:val="baseline"/>
        <w:rPr>
          <w:rFonts w:eastAsia="Times New Roman"/>
          <w:color w:val="000000"/>
          <w:spacing w:val="-1"/>
          <w:sz w:val="24"/>
        </w:rPr>
      </w:pPr>
      <w:r>
        <w:rPr>
          <w:rFonts w:eastAsia="Times New Roman"/>
          <w:color w:val="000000"/>
          <w:spacing w:val="-1"/>
          <w:sz w:val="24"/>
        </w:rPr>
        <w:t>On the New York State Department of Health (NYSDOH) site, select the nursing home by name after selecting the appropriate Region/County from the dropdown menu, and open the Inspections tab to view any Complaints, Inspection results including any Citations and any Enforcement actions against the nursing home.</w:t>
      </w:r>
    </w:p>
    <w:p w14:paraId="22134913" w14:textId="77777777" w:rsidR="005A4700" w:rsidRDefault="00BD13C8">
      <w:pPr>
        <w:numPr>
          <w:ilvl w:val="0"/>
          <w:numId w:val="1"/>
        </w:numPr>
        <w:tabs>
          <w:tab w:val="clear" w:pos="360"/>
          <w:tab w:val="left" w:pos="720"/>
        </w:tabs>
        <w:spacing w:before="298" w:line="274" w:lineRule="exact"/>
        <w:ind w:left="360"/>
        <w:textAlignment w:val="baseline"/>
        <w:rPr>
          <w:rFonts w:eastAsia="Times New Roman"/>
          <w:color w:val="2E4999"/>
          <w:sz w:val="24"/>
          <w:u w:val="single"/>
        </w:rPr>
      </w:pPr>
      <w:r>
        <w:rPr>
          <w:rFonts w:eastAsia="Times New Roman"/>
          <w:color w:val="2E4999"/>
          <w:sz w:val="24"/>
          <w:u w:val="single"/>
        </w:rPr>
        <w:t>nttps://www.meclicare.govicare-compare/?provider ype=NursingHome&amp;redirect=true</w:t>
      </w:r>
    </w:p>
    <w:p w14:paraId="58E72276" w14:textId="77777777" w:rsidR="005A4700" w:rsidRDefault="00BD13C8">
      <w:pPr>
        <w:numPr>
          <w:ilvl w:val="0"/>
          <w:numId w:val="2"/>
        </w:numPr>
        <w:tabs>
          <w:tab w:val="clear" w:pos="360"/>
          <w:tab w:val="left" w:pos="1440"/>
        </w:tabs>
        <w:spacing w:before="2" w:line="276" w:lineRule="exact"/>
        <w:ind w:left="1440" w:right="1584" w:hanging="360"/>
        <w:jc w:val="both"/>
        <w:textAlignment w:val="baseline"/>
        <w:rPr>
          <w:rFonts w:eastAsia="Times New Roman"/>
          <w:color w:val="000000"/>
          <w:sz w:val="24"/>
        </w:rPr>
      </w:pPr>
      <w:r>
        <w:rPr>
          <w:rFonts w:eastAsia="Times New Roman"/>
          <w:color w:val="000000"/>
          <w:sz w:val="24"/>
        </w:rPr>
        <w:t>On the Centers for Medicare and Medicaid Services (CMS) Care Compare site, enter the name of the nursing home in the search box. Click on the name of the nursing home to view Inspection results as well as any penalties that have been imposed.</w:t>
      </w:r>
    </w:p>
    <w:p w14:paraId="3621EA6D" w14:textId="77777777" w:rsidR="005A4700" w:rsidRDefault="00BD13C8">
      <w:pPr>
        <w:spacing w:before="272" w:after="208" w:line="275" w:lineRule="exact"/>
        <w:ind w:right="2016"/>
        <w:textAlignment w:val="baseline"/>
        <w:rPr>
          <w:rFonts w:eastAsia="Times New Roman"/>
          <w:color w:val="000000"/>
          <w:sz w:val="24"/>
        </w:rPr>
      </w:pPr>
      <w:r>
        <w:rPr>
          <w:rFonts w:eastAsia="Times New Roman"/>
          <w:color w:val="000000"/>
          <w:sz w:val="24"/>
        </w:rPr>
        <w:t>If you have any additional questions or would like more information, please contact me at your convenience.</w:t>
      </w:r>
    </w:p>
    <w:p w14:paraId="4E2B1E1B" w14:textId="2A7FBB77" w:rsidR="005A4700" w:rsidRDefault="00BD13C8">
      <w:pPr>
        <w:spacing w:line="255" w:lineRule="exact"/>
        <w:textAlignment w:val="baseline"/>
        <w:rPr>
          <w:rFonts w:eastAsia="Times New Roman"/>
          <w:color w:val="000000"/>
          <w:sz w:val="24"/>
        </w:rPr>
      </w:pPr>
      <w:r>
        <w:rPr>
          <w:noProof/>
        </w:rPr>
        <mc:AlternateContent>
          <mc:Choice Requires="wps">
            <w:drawing>
              <wp:anchor distT="0" distB="0" distL="0" distR="0" simplePos="0" relativeHeight="251656704" behindDoc="1" locked="0" layoutInCell="1" allowOverlap="1" wp14:anchorId="19F0856F" wp14:editId="27DED435">
                <wp:simplePos x="0" y="0"/>
                <wp:positionH relativeFrom="page">
                  <wp:posOffset>365760</wp:posOffset>
                </wp:positionH>
                <wp:positionV relativeFrom="page">
                  <wp:posOffset>7753985</wp:posOffset>
                </wp:positionV>
                <wp:extent cx="6769100" cy="601345"/>
                <wp:effectExtent l="0" t="0" r="0" b="0"/>
                <wp:wrapSquare wrapText="bothSides"/>
                <wp:docPr id="351543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EF0D8" w14:textId="77777777" w:rsidR="007A0F55" w:rsidRDefault="007A0F5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856F" id="_x0000_t202" coordsize="21600,21600" o:spt="202" path="m,l,21600r21600,l21600,xe">
                <v:stroke joinstyle="miter"/>
                <v:path gradientshapeok="t" o:connecttype="rect"/>
              </v:shapetype>
              <v:shape id="_x0000_s0" o:spid="_x0000_s1026" type="#_x0000_t202" style="position:absolute;margin-left:28.8pt;margin-top:610.55pt;width:533pt;height:47.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" filled="f" stroked="f">
                <v:textbox inset="0,0,0,0">
                  <w:txbxContent>
                    <w:p w14:paraId="0D4EF0D8" w14:textId="77777777" w:rsidR="007A0F55" w:rsidRDefault="007A0F55"/>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anchorId="3B3BC406" wp14:editId="33328EE5">
                <wp:simplePos x="0" y="0"/>
                <wp:positionH relativeFrom="page">
                  <wp:posOffset>365760</wp:posOffset>
                </wp:positionH>
                <wp:positionV relativeFrom="page">
                  <wp:posOffset>7753985</wp:posOffset>
                </wp:positionV>
                <wp:extent cx="2541905" cy="589915"/>
                <wp:effectExtent l="0" t="0" r="0" b="0"/>
                <wp:wrapSquare wrapText="bothSides"/>
                <wp:docPr id="2030652139"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589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EEB4" w14:textId="77777777" w:rsidR="005A4700" w:rsidRDefault="00BD13C8">
                            <w:pPr>
                              <w:textAlignment w:val="baseline"/>
                            </w:pPr>
                            <w:r>
                              <w:rPr>
                                <w:noProof/>
                              </w:rPr>
                              <w:drawing>
                                <wp:inline distT="0" distB="0" distL="0" distR="0" wp14:anchorId="7FCCEDB6" wp14:editId="73C85F51">
                                  <wp:extent cx="2541905" cy="5899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541905" cy="5899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BC406" id="Text Box -1023" o:spid="_x0000_s1027" type="#_x0000_t202" style="position:absolute;margin-left:28.8pt;margin-top:610.55pt;width:200.15pt;height:46.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" filled="f" stroked="f">
                <v:textbox inset="0,0,0,0">
                  <w:txbxContent>
                    <w:p w14:paraId="7596EEB4" w14:textId="77777777" w:rsidR="005A4700" w:rsidRDefault="00BD13C8">
                      <w:pPr>
                        <w:textAlignment w:val="baseline"/>
                      </w:pPr>
                      <w:r>
                        <w:rPr>
                          <w:noProof/>
                        </w:rPr>
                        <w:drawing>
                          <wp:inline distT="0" distB="0" distL="0" distR="0" wp14:anchorId="7FCCEDB6" wp14:editId="73C85F51">
                            <wp:extent cx="2541905" cy="5899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541905" cy="58991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8752" behindDoc="1" locked="0" layoutInCell="1" allowOverlap="1" wp14:anchorId="7EDBE5B4" wp14:editId="2CFC9BC8">
                <wp:simplePos x="0" y="0"/>
                <wp:positionH relativeFrom="page">
                  <wp:posOffset>377190</wp:posOffset>
                </wp:positionH>
                <wp:positionV relativeFrom="page">
                  <wp:posOffset>7818120</wp:posOffset>
                </wp:positionV>
                <wp:extent cx="564515" cy="141605"/>
                <wp:effectExtent l="0" t="0" r="0" b="0"/>
                <wp:wrapSquare wrapText="bothSides"/>
                <wp:docPr id="114177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7CFB7C" w14:textId="3001D16C" w:rsidR="005A4700" w:rsidRDefault="00384633">
                            <w:pPr>
                              <w:spacing w:line="216" w:lineRule="exact"/>
                              <w:textAlignment w:val="baseline"/>
                              <w:rPr>
                                <w:rFonts w:eastAsia="Times New Roman"/>
                                <w:color w:val="000000"/>
                                <w:spacing w:val="-19"/>
                                <w:sz w:val="24"/>
                              </w:rPr>
                            </w:pPr>
                            <w:r>
                              <w:rPr>
                                <w:rFonts w:eastAsia="Times New Roman"/>
                                <w:color w:val="000000"/>
                                <w:spacing w:val="-19"/>
                                <w:sz w:val="24"/>
                              </w:rPr>
                              <w:t>Sincerely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E5B4" id="Text Box 2" o:spid="_x0000_s1028" type="#_x0000_t202" style="position:absolute;margin-left:29.7pt;margin-top:615.6pt;width:44.45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" stroked="f">
                <v:textbox inset="0,0,0,0">
                  <w:txbxContent>
                    <w:p w14:paraId="397CFB7C" w14:textId="3001D16C" w:rsidR="005A4700" w:rsidRDefault="00384633">
                      <w:pPr>
                        <w:spacing w:line="216" w:lineRule="exact"/>
                        <w:textAlignment w:val="baseline"/>
                        <w:rPr>
                          <w:rFonts w:eastAsia="Times New Roman"/>
                          <w:color w:val="000000"/>
                          <w:spacing w:val="-19"/>
                          <w:sz w:val="24"/>
                        </w:rPr>
                      </w:pPr>
                      <w:r>
                        <w:rPr>
                          <w:rFonts w:eastAsia="Times New Roman"/>
                          <w:color w:val="000000"/>
                          <w:spacing w:val="-19"/>
                          <w:sz w:val="24"/>
                        </w:rPr>
                        <w:t>Sincerely</w:t>
                      </w:r>
                    </w:p>
                  </w:txbxContent>
                </v:textbox>
                <w10:wrap type="square" anchorx="page" anchory="page"/>
              </v:shape>
            </w:pict>
          </mc:Fallback>
        </mc:AlternateContent>
      </w:r>
      <w:r>
        <w:rPr>
          <w:rFonts w:eastAsia="Times New Roman"/>
          <w:color w:val="000000"/>
          <w:sz w:val="24"/>
        </w:rPr>
        <w:t xml:space="preserve">Michael Monahan, Executive Director </w:t>
      </w:r>
      <w:r>
        <w:rPr>
          <w:rFonts w:eastAsia="Times New Roman"/>
          <w:color w:val="000000"/>
          <w:sz w:val="24"/>
        </w:rPr>
        <w:br/>
        <w:t>Mary Maiming Walsh Home</w:t>
      </w:r>
    </w:p>
    <w:p w14:paraId="672EC8B9" w14:textId="77777777" w:rsidR="005A4700" w:rsidRDefault="005A4700">
      <w:pPr>
        <w:spacing w:before="11" w:line="274" w:lineRule="exact"/>
        <w:textAlignment w:val="baseline"/>
        <w:rPr>
          <w:rFonts w:eastAsia="Times New Roman"/>
          <w:color w:val="2E4999"/>
          <w:sz w:val="24"/>
          <w:u w:val="single"/>
        </w:rPr>
      </w:pPr>
      <w:hyperlink r:id="rId9">
        <w:r>
          <w:rPr>
            <w:rFonts w:eastAsia="Times New Roman"/>
            <w:color w:val="0000FF"/>
            <w:sz w:val="24"/>
            <w:u w:val="single"/>
          </w:rPr>
          <w:t>mmonahan@archcare.org</w:t>
        </w:r>
      </w:hyperlink>
      <w:r w:rsidR="00BD13C8">
        <w:rPr>
          <w:rFonts w:eastAsia="Times New Roman"/>
          <w:color w:val="2E4999"/>
          <w:sz w:val="24"/>
          <w:u w:val="single"/>
        </w:rPr>
        <w:t xml:space="preserve"> </w:t>
      </w:r>
    </w:p>
    <w:p w14:paraId="08D75606" w14:textId="77777777" w:rsidR="005A4700" w:rsidRDefault="00BD13C8">
      <w:pPr>
        <w:spacing w:line="270" w:lineRule="exact"/>
        <w:textAlignment w:val="baseline"/>
        <w:rPr>
          <w:rFonts w:eastAsia="Times New Roman"/>
          <w:color w:val="000000"/>
          <w:sz w:val="24"/>
          <w:u w:val="single"/>
        </w:rPr>
      </w:pPr>
      <w:r>
        <w:rPr>
          <w:rFonts w:eastAsia="Times New Roman"/>
          <w:color w:val="000000"/>
          <w:sz w:val="24"/>
          <w:u w:val="single"/>
        </w:rPr>
        <w:t xml:space="preserve">(646)475-4805 </w:t>
      </w:r>
    </w:p>
    <w:p w14:paraId="480BDE79" w14:textId="77777777" w:rsidR="005A4700" w:rsidRDefault="00BD13C8">
      <w:pPr>
        <w:spacing w:before="286" w:line="240" w:lineRule="exact"/>
        <w:jc w:val="center"/>
        <w:textAlignment w:val="baseline"/>
        <w:rPr>
          <w:rFonts w:eastAsia="Times New Roman"/>
          <w:color w:val="000000"/>
          <w:spacing w:val="1"/>
          <w:sz w:val="21"/>
        </w:rPr>
      </w:pPr>
      <w:r>
        <w:rPr>
          <w:rFonts w:eastAsia="Times New Roman"/>
          <w:color w:val="000000"/>
          <w:spacing w:val="1"/>
          <w:sz w:val="21"/>
        </w:rPr>
        <w:t>1339 York Avenue New York, NY 10021</w:t>
      </w:r>
    </w:p>
    <w:p w14:paraId="0A62ADF0" w14:textId="77777777" w:rsidR="005A4700" w:rsidRDefault="00BD13C8">
      <w:pPr>
        <w:spacing w:before="1" w:line="269" w:lineRule="exact"/>
        <w:jc w:val="center"/>
        <w:textAlignment w:val="baseline"/>
        <w:rPr>
          <w:rFonts w:eastAsia="Times New Roman"/>
          <w:color w:val="000000"/>
          <w:sz w:val="21"/>
        </w:rPr>
      </w:pPr>
      <w:r>
        <w:rPr>
          <w:rFonts w:eastAsia="Times New Roman"/>
          <w:color w:val="000000"/>
          <w:sz w:val="21"/>
        </w:rPr>
        <w:t xml:space="preserve">T 212 628 2800 F 212 861 4178 </w:t>
      </w:r>
      <w:r>
        <w:rPr>
          <w:rFonts w:eastAsia="Times New Roman"/>
          <w:color w:val="000000"/>
          <w:sz w:val="21"/>
        </w:rPr>
        <w:br/>
      </w:r>
      <w:hyperlink r:id="rId10">
        <w:r w:rsidR="005A4700">
          <w:rPr>
            <w:rFonts w:eastAsia="Times New Roman"/>
            <w:color w:val="0000FF"/>
            <w:sz w:val="21"/>
            <w:u w:val="single"/>
          </w:rPr>
          <w:t>www.archcare.org</w:t>
        </w:r>
      </w:hyperlink>
      <w:r>
        <w:rPr>
          <w:rFonts w:eastAsia="Times New Roman"/>
          <w:color w:val="000000"/>
          <w:sz w:val="21"/>
        </w:rPr>
        <w:t xml:space="preserve"> </w:t>
      </w:r>
      <w:bookmarkEnd w:id="0"/>
    </w:p>
    <w:sectPr w:rsidR="005A4700">
      <w:pgSz w:w="12240" w:h="15840"/>
      <w:pgMar w:top="420" w:right="1004" w:bottom="24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44C"/>
    <w:multiLevelType w:val="multilevel"/>
    <w:tmpl w:val="FB407D58"/>
    <w:lvl w:ilvl="0">
      <w:numFmt w:val="bullet"/>
      <w:lvlText w:val="o"/>
      <w:lvlJc w:val="left"/>
      <w:pPr>
        <w:tabs>
          <w:tab w:val="left" w:pos="360"/>
        </w:tabs>
      </w:pPr>
      <w:rPr>
        <w:rFonts w:ascii="Courier New" w:eastAsia="Courier New" w:hAnsi="Courier New"/>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37097A"/>
    <w:multiLevelType w:val="multilevel"/>
    <w:tmpl w:val="9A1A443C"/>
    <w:lvl w:ilvl="0">
      <w:numFmt w:val="bullet"/>
      <w:lvlText w:val="·"/>
      <w:lvlJc w:val="left"/>
      <w:pPr>
        <w:tabs>
          <w:tab w:val="left" w:pos="360"/>
        </w:tabs>
      </w:pPr>
      <w:rPr>
        <w:rFonts w:ascii="Symbol" w:eastAsia="Symbol" w:hAnsi="Symbol"/>
        <w:color w:val="2E4999"/>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3971362">
    <w:abstractNumId w:val="1"/>
  </w:num>
  <w:num w:numId="2" w16cid:durableId="128654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00"/>
    <w:rsid w:val="000D0D64"/>
    <w:rsid w:val="00384633"/>
    <w:rsid w:val="00406C25"/>
    <w:rsid w:val="00572F0A"/>
    <w:rsid w:val="005A4700"/>
    <w:rsid w:val="00761EB7"/>
    <w:rsid w:val="007A0F55"/>
    <w:rsid w:val="00926765"/>
    <w:rsid w:val="00BD13C8"/>
    <w:rsid w:val="00D9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CE33"/>
  <w15:docId w15:val="{4FF8CC26-6874-45C4-BAA3-1D72A0B0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profiles.health.ny.gov/nursinghome/index"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vv.medicare.gov/care-compare/en/assets/resources/nursing-home/02174-nursing-home-other-long-term-services.pdf?redirect=true."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archcare.org" TargetMode="External"/><Relationship Id="rId4" Type="http://schemas.openxmlformats.org/officeDocument/2006/relationships/webSettings" Target="webSettings.xml"/><Relationship Id="rId9" Type="http://schemas.openxmlformats.org/officeDocument/2006/relationships/hyperlink" Target="mailto:mmonahan@arc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Company>Archcare</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Luft, Susan</dc:creator>
  <cp:lastModifiedBy>Luft, Susan</cp:lastModifiedBy>
  <cp:revision>2</cp:revision>
  <cp:lastPrinted>2025-03-29T15:37:00Z</cp:lastPrinted>
  <dcterms:created xsi:type="dcterms:W3CDTF">2026-03-16T15:16:00Z</dcterms:created>
  <dcterms:modified xsi:type="dcterms:W3CDTF">2026-03-16T15:16:00Z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a4d716-a85a-4d51-a251-2c40dccac172_Enabled">
    <vt:lpwstr>true</vt:lpwstr>
  </property>
  <property fmtid="{D5CDD505-2E9C-101B-9397-08002B2CF9AE}" pid="3" name="MSIP_Label_fea4d716-a85a-4d51-a251-2c40dccac172_SetDate">
    <vt:lpwstr>2025-08-04T10:47:49Z</vt:lpwstr>
  </property>
  <property fmtid="{D5CDD505-2E9C-101B-9397-08002B2CF9AE}" pid="4" name="MSIP_Label_fea4d716-a85a-4d51-a251-2c40dccac172_Method">
    <vt:lpwstr>Standard</vt:lpwstr>
  </property>
  <property fmtid="{D5CDD505-2E9C-101B-9397-08002B2CF9AE}" pid="5" name="MSIP_Label_fea4d716-a85a-4d51-a251-2c40dccac172_Name">
    <vt:lpwstr>Confidential</vt:lpwstr>
  </property>
  <property fmtid="{D5CDD505-2E9C-101B-9397-08002B2CF9AE}" pid="6" name="MSIP_Label_fea4d716-a85a-4d51-a251-2c40dccac172_SiteId">
    <vt:lpwstr>35db3228-5646-4e4a-9ef9-8e49b9f98bcb</vt:lpwstr>
  </property>
  <property fmtid="{D5CDD505-2E9C-101B-9397-08002B2CF9AE}" pid="7" name="MSIP_Label_fea4d716-a85a-4d51-a251-2c40dccac172_ActionId">
    <vt:lpwstr>9d3dc650-4ac8-4e17-8818-16cf84266abd</vt:lpwstr>
  </property>
  <property fmtid="{D5CDD505-2E9C-101B-9397-08002B2CF9AE}" pid="8" name="MSIP_Label_fea4d716-a85a-4d51-a251-2c40dccac172_Provider">
    <vt:lpwstr>Varonis.Labeling</vt:lpwstr>
  </property>
  <property fmtid="{D5CDD505-2E9C-101B-9397-08002B2CF9AE}" pid="9" name="MSIP_Label_fea4d716-a85a-4d51-a251-2c40dccac172_ContentBits">
    <vt:lpwstr>0</vt:lpwstr>
  </property>
</Properties>
</file>